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651" w:rsidRPr="004A1651" w:rsidRDefault="004A1651" w:rsidP="004A1651">
      <w:pPr>
        <w:spacing w:after="0" w:line="480" w:lineRule="auto"/>
        <w:jc w:val="center"/>
      </w:pPr>
      <w:r w:rsidRPr="004A1651">
        <w:t>Reply to Desaree Armand</w:t>
      </w:r>
    </w:p>
    <w:p w:rsidR="004A1651" w:rsidRPr="004A1651" w:rsidRDefault="004A1651" w:rsidP="004A1651">
      <w:pPr>
        <w:spacing w:after="0" w:line="480" w:lineRule="auto"/>
        <w:ind w:firstLine="720"/>
        <w:jc w:val="both"/>
      </w:pPr>
      <w:r w:rsidRPr="004A1651">
        <w:t>Hello Desaree, in most cases, blending families with teenagers involved presents the parents with numerous challenges, as empirical evidence has shown the adverse effects of blended families on teenage performance in academics and social relations. However, as you mentioned in your post, the integration may also result in numerous positives. For instance, blended families present teenagers with a chance to talk and express their opinions in the place of overlooking the common challenges of such family arrangements (Lebacq et al., 2020). Additionally, blended families present an opportunity to set new family cultures that include non-blood-related relatives.</w:t>
      </w:r>
    </w:p>
    <w:p w:rsidR="004A1651" w:rsidRPr="004A1651" w:rsidRDefault="004A1651" w:rsidP="004A1651">
      <w:pPr>
        <w:spacing w:after="0" w:line="480" w:lineRule="auto"/>
        <w:jc w:val="center"/>
      </w:pPr>
      <w:r w:rsidRPr="004A1651">
        <w:t>References</w:t>
      </w:r>
    </w:p>
    <w:p w:rsidR="004A1651" w:rsidRPr="004A1651" w:rsidRDefault="004A1651" w:rsidP="004A1651">
      <w:pPr>
        <w:spacing w:after="0" w:line="480" w:lineRule="auto"/>
        <w:ind w:left="720" w:hanging="720"/>
        <w:jc w:val="both"/>
      </w:pPr>
      <w:r w:rsidRPr="004A1651">
        <w:t>Lebacq, T., Desnouck, V., Dujeu, M., Holmberg, E., Pedroni, C., &amp;Castetbon, K. (2020). Determinants of energy drink consumption in adolescents: identification of sex-specific patterns. </w:t>
      </w:r>
      <w:r w:rsidRPr="004A1651">
        <w:rPr>
          <w:i/>
          <w:iCs/>
        </w:rPr>
        <w:t>Public Health</w:t>
      </w:r>
      <w:r w:rsidRPr="004A1651">
        <w:t>, </w:t>
      </w:r>
      <w:r w:rsidRPr="004A1651">
        <w:rPr>
          <w:i/>
          <w:iCs/>
        </w:rPr>
        <w:t>185</w:t>
      </w:r>
      <w:r w:rsidRPr="004A1651">
        <w:t>, 182-188.</w:t>
      </w:r>
    </w:p>
    <w:p w:rsidR="004A1651" w:rsidRPr="004A1651" w:rsidRDefault="004A1651" w:rsidP="004A1651">
      <w:pPr>
        <w:spacing w:after="0" w:line="480" w:lineRule="auto"/>
        <w:jc w:val="center"/>
      </w:pPr>
      <w:r w:rsidRPr="004A1651">
        <w:t>Reply to Byron Prescott</w:t>
      </w:r>
    </w:p>
    <w:p w:rsidR="004A1651" w:rsidRPr="004A1651" w:rsidRDefault="004A1651" w:rsidP="004A1651">
      <w:pPr>
        <w:spacing w:after="0" w:line="480" w:lineRule="auto"/>
        <w:ind w:firstLine="720"/>
        <w:jc w:val="both"/>
      </w:pPr>
      <w:r w:rsidRPr="004A1651">
        <w:t>Hello Byron, as a scholar-practitioner, it is important to be aware of the work-related challenges when working with blended families and single-parent families at the professional level. The counselor-client relationship plays an essential role in determining the success of the counseling process, thus requiring the relevant parties to uphold professionalism to maintain the relationship's effectiveness. However, certain factors may present themselves, and which significantly affect the efficiency of this relationship. These factors include transference, where past issues like previous loyalties are transferred to the current process, countertransference, where the counselor's past experiences affect current procedures, and factors such as burnout (Duggal &amp; Rao, 2016). </w:t>
      </w:r>
    </w:p>
    <w:p w:rsidR="004A1651" w:rsidRPr="004A1651" w:rsidRDefault="004A1651" w:rsidP="004A1651">
      <w:pPr>
        <w:spacing w:after="0" w:line="480" w:lineRule="auto"/>
        <w:jc w:val="center"/>
      </w:pPr>
      <w:r w:rsidRPr="004A1651">
        <w:lastRenderedPageBreak/>
        <w:t>References</w:t>
      </w:r>
    </w:p>
    <w:p w:rsidR="004A1651" w:rsidRPr="004A1651" w:rsidRDefault="004A1651" w:rsidP="004A1651">
      <w:pPr>
        <w:spacing w:after="0" w:line="480" w:lineRule="auto"/>
        <w:ind w:left="720" w:hanging="720"/>
        <w:jc w:val="both"/>
      </w:pPr>
      <w:r w:rsidRPr="004A1651">
        <w:t>Duggal, C., &amp; Rao, M. (2016). Challenges experienced by novice counselors. In </w:t>
      </w:r>
      <w:r w:rsidRPr="004A1651">
        <w:rPr>
          <w:i/>
          <w:iCs/>
        </w:rPr>
        <w:t>Counselling in India</w:t>
      </w:r>
      <w:r w:rsidRPr="004A1651">
        <w:t> (pp. 35-53). Springer, Singapore.</w:t>
      </w:r>
    </w:p>
    <w:p w:rsidR="004A1651" w:rsidRPr="004A1651" w:rsidRDefault="004A1651" w:rsidP="004A1651">
      <w:pPr>
        <w:spacing w:after="0" w:line="480" w:lineRule="auto"/>
        <w:jc w:val="center"/>
      </w:pPr>
      <w:r w:rsidRPr="004A1651">
        <w:t>Reply to Michael Bailey</w:t>
      </w:r>
    </w:p>
    <w:p w:rsidR="004A1651" w:rsidRPr="004A1651" w:rsidRDefault="004A1651" w:rsidP="004A1651">
      <w:pPr>
        <w:spacing w:after="0" w:line="480" w:lineRule="auto"/>
        <w:ind w:firstLine="720"/>
        <w:jc w:val="both"/>
      </w:pPr>
      <w:r w:rsidRPr="004A1651">
        <w:t>Hello Michael, most professional therapists and counselors consider group therapy to be an effective approach to dealing with most family conflicts, including the challenges experienced in blended and single-parent families. Therefore, it is incumbent on scholar-practitioners to remain aware of the technique and the increasing trends of including family systems therapy in group therapy. In systems thinking, the family problems are treated like a system, where individual parts of the system are addressed to deal with the whole system of problems (Schwartz &amp;Sweezy 2019). </w:t>
      </w:r>
    </w:p>
    <w:p w:rsidR="004A1651" w:rsidRPr="004A1651" w:rsidRDefault="004A1651" w:rsidP="004A1651">
      <w:pPr>
        <w:spacing w:after="0" w:line="480" w:lineRule="auto"/>
        <w:jc w:val="center"/>
      </w:pPr>
      <w:r w:rsidRPr="004A1651">
        <w:t>References</w:t>
      </w:r>
    </w:p>
    <w:p w:rsidR="004A1651" w:rsidRPr="004A1651" w:rsidRDefault="004A1651" w:rsidP="004A1651">
      <w:pPr>
        <w:spacing w:after="0" w:line="480" w:lineRule="auto"/>
        <w:ind w:left="720" w:hanging="720"/>
      </w:pPr>
      <w:r w:rsidRPr="004A1651">
        <w:t>Schwartz, R. C., &amp;Sweezy, M. (2019). </w:t>
      </w:r>
      <w:r w:rsidRPr="004A1651">
        <w:rPr>
          <w:i/>
          <w:iCs/>
        </w:rPr>
        <w:t>Internal family systems therapy</w:t>
      </w:r>
      <w:r w:rsidRPr="004A1651">
        <w:t>. Guilford Publications.</w:t>
      </w:r>
    </w:p>
    <w:p w:rsidR="00394B2D" w:rsidRDefault="00394B2D" w:rsidP="004A1651">
      <w:pPr>
        <w:spacing w:after="0" w:line="480" w:lineRule="auto"/>
      </w:pPr>
    </w:p>
    <w:p w:rsidR="004A1651" w:rsidRDefault="004A1651">
      <w:pPr>
        <w:spacing w:after="0" w:line="480" w:lineRule="auto"/>
      </w:pPr>
    </w:p>
    <w:sectPr w:rsidR="004A1651" w:rsidSect="007B3F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4A1651"/>
    <w:rsid w:val="001331DB"/>
    <w:rsid w:val="00394B2D"/>
    <w:rsid w:val="004A1651"/>
    <w:rsid w:val="00587A15"/>
    <w:rsid w:val="007B3F97"/>
    <w:rsid w:val="009B1BA7"/>
    <w:rsid w:val="00DB53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F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45613188">
      <w:bodyDiv w:val="1"/>
      <w:marLeft w:val="0"/>
      <w:marRight w:val="0"/>
      <w:marTop w:val="0"/>
      <w:marBottom w:val="0"/>
      <w:divBdr>
        <w:top w:val="none" w:sz="0" w:space="0" w:color="auto"/>
        <w:left w:val="none" w:sz="0" w:space="0" w:color="auto"/>
        <w:bottom w:val="none" w:sz="0" w:space="0" w:color="auto"/>
        <w:right w:val="none" w:sz="0" w:space="0" w:color="auto"/>
      </w:divBdr>
    </w:div>
    <w:div w:id="148808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2188</Characters>
  <Application>Microsoft Office Word</Application>
  <DocSecurity>0</DocSecurity>
  <Lines>18</Lines>
  <Paragraphs>5</Paragraphs>
  <ScaleCrop>false</ScaleCrop>
  <Company/>
  <LinksUpToDate>false</LinksUpToDate>
  <CharactersWithSpaces>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ADM</cp:lastModifiedBy>
  <cp:revision>3</cp:revision>
  <dcterms:created xsi:type="dcterms:W3CDTF">2020-09-04T12:29:00Z</dcterms:created>
  <dcterms:modified xsi:type="dcterms:W3CDTF">2020-09-04T12:30:00Z</dcterms:modified>
</cp:coreProperties>
</file>